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B3018" w14:textId="1E0113CB" w:rsidR="00664D98" w:rsidRDefault="00664D98" w:rsidP="00664D98">
      <w:pPr>
        <w:pStyle w:val="Header"/>
        <w:tabs>
          <w:tab w:val="right" w:pos="9900"/>
          <w:tab w:val="right" w:pos="13323"/>
        </w:tabs>
        <w:rPr>
          <w:sz w:val="24"/>
          <w:szCs w:val="24"/>
          <w:lang w:val="pt-BR"/>
        </w:rPr>
      </w:pPr>
      <w:r>
        <w:rPr>
          <w:sz w:val="24"/>
          <w:szCs w:val="24"/>
          <w:lang w:val="pt-BR"/>
        </w:rPr>
        <w:t>3GPP TSG-RAN WG4 Meeting #8</w:t>
      </w:r>
      <w:r w:rsidR="00AE4634">
        <w:rPr>
          <w:sz w:val="24"/>
          <w:szCs w:val="24"/>
          <w:lang w:val="pt-BR"/>
        </w:rPr>
        <w:t>4</w:t>
      </w:r>
      <w:r>
        <w:rPr>
          <w:sz w:val="24"/>
          <w:szCs w:val="24"/>
          <w:lang w:val="pt-BR"/>
        </w:rPr>
        <w:tab/>
      </w:r>
      <w:r w:rsidRPr="00347BDE">
        <w:rPr>
          <w:sz w:val="24"/>
          <w:szCs w:val="24"/>
          <w:lang w:val="pt-BR"/>
        </w:rPr>
        <w:t>R4-17</w:t>
      </w:r>
      <w:r w:rsidR="00AE4634">
        <w:rPr>
          <w:sz w:val="24"/>
          <w:szCs w:val="24"/>
          <w:lang w:val="pt-BR"/>
        </w:rPr>
        <w:t>0</w:t>
      </w:r>
      <w:r w:rsidR="003850C4">
        <w:rPr>
          <w:sz w:val="24"/>
          <w:szCs w:val="24"/>
          <w:lang w:val="pt-BR"/>
        </w:rPr>
        <w:t>7479</w:t>
      </w:r>
    </w:p>
    <w:p w14:paraId="21C0D1C7" w14:textId="77777777" w:rsidR="00664D98" w:rsidRDefault="00AE4634" w:rsidP="00664D98">
      <w:pPr>
        <w:pStyle w:val="BodyText"/>
        <w:rPr>
          <w:rFonts w:ascii="Arial" w:hAnsi="Arial"/>
          <w:b/>
          <w:noProof/>
          <w:lang w:val="pt-BR"/>
        </w:rPr>
      </w:pPr>
      <w:r>
        <w:rPr>
          <w:rFonts w:ascii="Arial" w:hAnsi="Arial"/>
          <w:b/>
          <w:noProof/>
          <w:lang w:val="pt-BR"/>
        </w:rPr>
        <w:t>Berlin</w:t>
      </w:r>
      <w:r w:rsidR="00664D98" w:rsidRPr="00BF1A2A">
        <w:rPr>
          <w:rFonts w:ascii="Arial" w:hAnsi="Arial"/>
          <w:b/>
          <w:noProof/>
          <w:lang w:val="pt-BR"/>
        </w:rPr>
        <w:t xml:space="preserve">, </w:t>
      </w:r>
      <w:r>
        <w:rPr>
          <w:rFonts w:ascii="Arial" w:hAnsi="Arial"/>
          <w:b/>
          <w:noProof/>
          <w:lang w:val="pt-BR"/>
        </w:rPr>
        <w:t>Germany, 21</w:t>
      </w:r>
      <w:r w:rsidR="00664D98" w:rsidRPr="00BF1A2A">
        <w:rPr>
          <w:rFonts w:ascii="Arial" w:hAnsi="Arial"/>
          <w:b/>
          <w:noProof/>
          <w:lang w:val="pt-BR"/>
        </w:rPr>
        <w:t xml:space="preserve"> – </w:t>
      </w:r>
      <w:r>
        <w:rPr>
          <w:rFonts w:ascii="Arial" w:hAnsi="Arial"/>
          <w:b/>
          <w:noProof/>
          <w:lang w:val="pt-BR"/>
        </w:rPr>
        <w:t>25</w:t>
      </w:r>
      <w:r w:rsidR="00664D98" w:rsidRPr="00BF1A2A">
        <w:rPr>
          <w:rFonts w:ascii="Arial" w:hAnsi="Arial"/>
          <w:b/>
          <w:noProof/>
          <w:lang w:val="pt-BR"/>
        </w:rPr>
        <w:t xml:space="preserve"> </w:t>
      </w:r>
      <w:r>
        <w:rPr>
          <w:rFonts w:ascii="Arial" w:hAnsi="Arial"/>
          <w:b/>
          <w:noProof/>
          <w:lang w:val="pt-BR"/>
        </w:rPr>
        <w:t>August</w:t>
      </w:r>
      <w:r w:rsidR="00664D98" w:rsidRPr="00BF1A2A">
        <w:rPr>
          <w:rFonts w:ascii="Arial" w:hAnsi="Arial"/>
          <w:b/>
          <w:noProof/>
          <w:lang w:val="pt-BR"/>
        </w:rPr>
        <w:t>, 2017</w:t>
      </w:r>
    </w:p>
    <w:p w14:paraId="7D3C7696" w14:textId="77777777" w:rsidR="00664D98" w:rsidRDefault="00664D98" w:rsidP="00664D98">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7FD886EF"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48212B">
        <w:t>How to capture the combined emissions requirement in the specifications</w:t>
      </w:r>
    </w:p>
    <w:p w14:paraId="7E9B3BA8" w14:textId="6CB5CF9E" w:rsidR="00664D98" w:rsidRPr="00347BDE" w:rsidRDefault="00664D98" w:rsidP="00664D98">
      <w:pPr>
        <w:pStyle w:val="BodyText"/>
        <w:spacing w:after="120"/>
        <w:rPr>
          <w:lang w:val="sv-SE"/>
        </w:rPr>
      </w:pPr>
      <w:r w:rsidRPr="00BF1A2A">
        <w:rPr>
          <w:b/>
          <w:lang w:val="sv-SE"/>
        </w:rPr>
        <w:t>Agenda item:</w:t>
      </w:r>
      <w:r w:rsidRPr="00BF1A2A">
        <w:rPr>
          <w:b/>
          <w:lang w:val="sv-SE"/>
        </w:rPr>
        <w:tab/>
      </w:r>
      <w:r w:rsidRPr="00BF1A2A">
        <w:rPr>
          <w:b/>
          <w:lang w:val="sv-SE"/>
        </w:rPr>
        <w:tab/>
      </w:r>
      <w:r w:rsidR="004B7DEA">
        <w:rPr>
          <w:lang w:val="sv-SE"/>
        </w:rPr>
        <w:t>8.28.3.6</w:t>
      </w:r>
    </w:p>
    <w:p w14:paraId="244C963E" w14:textId="26E6D698" w:rsidR="00664D98" w:rsidRPr="005C2B50" w:rsidRDefault="00664D98" w:rsidP="00664D98">
      <w:pPr>
        <w:pStyle w:val="BodyText"/>
        <w:spacing w:after="120"/>
        <w:rPr>
          <w:b/>
        </w:rPr>
      </w:pPr>
      <w:r w:rsidRPr="005C2B50">
        <w:rPr>
          <w:b/>
        </w:rPr>
        <w:t>Document for:</w:t>
      </w:r>
      <w:r w:rsidRPr="005C2B50">
        <w:rPr>
          <w:b/>
        </w:rPr>
        <w:tab/>
      </w:r>
      <w:r w:rsidR="002051D4">
        <w:t>Discussion</w:t>
      </w:r>
      <w:bookmarkStart w:id="0" w:name="_GoBack"/>
      <w:bookmarkEnd w:id="0"/>
    </w:p>
    <w:p w14:paraId="292C85E4" w14:textId="77777777" w:rsidR="00664D98" w:rsidRDefault="00664D98" w:rsidP="00664D98">
      <w:pPr>
        <w:pStyle w:val="Heading1"/>
        <w:rPr>
          <w:lang w:val="en-US"/>
        </w:rPr>
      </w:pPr>
      <w:r w:rsidRPr="006A67A0">
        <w:rPr>
          <w:lang w:val="en-US"/>
        </w:rPr>
        <w:t>Introduction</w:t>
      </w:r>
    </w:p>
    <w:p w14:paraId="2C194C9A" w14:textId="7CE4C739" w:rsidR="00AE4634" w:rsidRDefault="00AE4634" w:rsidP="00A2368F">
      <w:pPr>
        <w:spacing w:line="276" w:lineRule="auto"/>
        <w:rPr>
          <w:color w:val="000000" w:themeColor="text1"/>
          <w:sz w:val="22"/>
        </w:rPr>
      </w:pPr>
      <w:r>
        <w:rPr>
          <w:color w:val="000000" w:themeColor="text1"/>
          <w:sz w:val="22"/>
        </w:rPr>
        <w:t xml:space="preserve">In RAN4-#83 a way forward was approved on </w:t>
      </w:r>
      <w:r w:rsidRPr="00AE4634">
        <w:rPr>
          <w:rFonts w:hint="eastAsia"/>
          <w:color w:val="000000" w:themeColor="text1"/>
          <w:sz w:val="22"/>
          <w:lang w:val="en-US"/>
        </w:rPr>
        <w:t>alignment of EMC emission and RF RSE requirements</w:t>
      </w:r>
      <w:r>
        <w:rPr>
          <w:color w:val="000000" w:themeColor="text1"/>
          <w:sz w:val="22"/>
        </w:rPr>
        <w:t xml:space="preserve"> [1]. A number of observations to consider when aligning these requirements </w:t>
      </w:r>
      <w:r w:rsidR="0049275A">
        <w:rPr>
          <w:color w:val="000000" w:themeColor="text1"/>
          <w:sz w:val="22"/>
        </w:rPr>
        <w:t>are</w:t>
      </w:r>
      <w:r>
        <w:rPr>
          <w:color w:val="000000" w:themeColor="text1"/>
          <w:sz w:val="22"/>
        </w:rPr>
        <w:t xml:space="preserve"> liste</w:t>
      </w:r>
      <w:r w:rsidR="0048212B">
        <w:rPr>
          <w:color w:val="000000" w:themeColor="text1"/>
          <w:sz w:val="22"/>
        </w:rPr>
        <w:t xml:space="preserve">d in the WF. The proposed solutions to these observations are presented in another contribution for RAN4#84. The intension of this contribution is to discuss how to implement the combined emissions requirement in the specifications. </w:t>
      </w:r>
    </w:p>
    <w:p w14:paraId="47A8774F" w14:textId="77777777" w:rsidR="002E57B8" w:rsidRPr="002E57B8" w:rsidRDefault="002E57B8" w:rsidP="002E57B8">
      <w:pPr>
        <w:pStyle w:val="Heading1"/>
      </w:pPr>
      <w:r>
        <w:t>Discussion</w:t>
      </w:r>
    </w:p>
    <w:p w14:paraId="6193C4EF" w14:textId="5912562F" w:rsidR="0029233A" w:rsidRDefault="009A5DF4" w:rsidP="0029233A">
      <w:pPr>
        <w:rPr>
          <w:color w:val="000000" w:themeColor="text1"/>
          <w:sz w:val="22"/>
        </w:rPr>
      </w:pPr>
      <w:r>
        <w:rPr>
          <w:color w:val="000000" w:themeColor="text1"/>
          <w:sz w:val="22"/>
        </w:rPr>
        <w:t xml:space="preserve">Based on </w:t>
      </w:r>
      <w:r w:rsidRPr="009A5DF4">
        <w:rPr>
          <w:color w:val="000000" w:themeColor="text1"/>
          <w:sz w:val="22"/>
        </w:rPr>
        <w:t>R4-1706139</w:t>
      </w:r>
      <w:r w:rsidR="002454F8">
        <w:rPr>
          <w:color w:val="000000" w:themeColor="text1"/>
          <w:sz w:val="22"/>
        </w:rPr>
        <w:t xml:space="preserve"> [2]</w:t>
      </w:r>
      <w:r>
        <w:rPr>
          <w:color w:val="000000" w:themeColor="text1"/>
          <w:sz w:val="22"/>
        </w:rPr>
        <w:t xml:space="preserve"> the following strategy for the combined emissions requirement was agreed</w:t>
      </w:r>
      <w:r w:rsidR="00156990">
        <w:rPr>
          <w:color w:val="000000" w:themeColor="text1"/>
          <w:sz w:val="22"/>
        </w:rPr>
        <w:t xml:space="preserve"> in RAN4#83</w:t>
      </w:r>
      <w:r>
        <w:rPr>
          <w:color w:val="000000" w:themeColor="text1"/>
          <w:sz w:val="22"/>
        </w:rPr>
        <w:t xml:space="preserve">: </w:t>
      </w:r>
    </w:p>
    <w:p w14:paraId="5B0F984C" w14:textId="7FF6A237" w:rsidR="00653818" w:rsidRDefault="0029233A" w:rsidP="0029233A">
      <w:pPr>
        <w:rPr>
          <w:color w:val="000000" w:themeColor="text1"/>
          <w:sz w:val="22"/>
          <w:lang w:val="en-US"/>
        </w:rPr>
      </w:pPr>
      <w:r>
        <w:rPr>
          <w:i/>
          <w:iCs/>
          <w:color w:val="000000" w:themeColor="text1"/>
          <w:sz w:val="22"/>
        </w:rPr>
        <w:t>“</w:t>
      </w:r>
      <w:r w:rsidR="00F60701" w:rsidRPr="0029233A">
        <w:rPr>
          <w:i/>
          <w:iCs/>
          <w:color w:val="000000" w:themeColor="text1"/>
          <w:sz w:val="22"/>
          <w:lang w:val="en-US"/>
        </w:rPr>
        <w:t xml:space="preserve">Conformance requirement for the TX spurious requirement OTA will be composed as a single requirement together with the EMC RE requirement OTA, as there is no possibility to separate those requirements in OTA test setup. The resulting test requirement will be subject to single test setup and single measurement procedure. Definition of the conformance requirement will be subject </w:t>
      </w:r>
      <w:r w:rsidR="00F60701" w:rsidRPr="00B3274B">
        <w:rPr>
          <w:i/>
          <w:iCs/>
          <w:color w:val="000000" w:themeColor="text1"/>
          <w:sz w:val="22"/>
          <w:lang w:val="en-US"/>
        </w:rPr>
        <w:t>to TRP MU, where the MU definition is FFS.</w:t>
      </w:r>
      <w:r w:rsidR="00F60701" w:rsidRPr="0029233A">
        <w:rPr>
          <w:color w:val="000000" w:themeColor="text1"/>
          <w:sz w:val="22"/>
          <w:lang w:val="en-US"/>
        </w:rPr>
        <w:t xml:space="preserve"> </w:t>
      </w:r>
      <w:r>
        <w:rPr>
          <w:color w:val="000000" w:themeColor="text1"/>
          <w:sz w:val="22"/>
          <w:lang w:val="en-US"/>
        </w:rPr>
        <w:t>“</w:t>
      </w:r>
    </w:p>
    <w:p w14:paraId="6A7EE8DE" w14:textId="5622EEEF" w:rsidR="00EE4373" w:rsidRDefault="0029233A" w:rsidP="0029233A">
      <w:pPr>
        <w:rPr>
          <w:color w:val="000000" w:themeColor="text1"/>
          <w:sz w:val="22"/>
          <w:lang w:val="en-US"/>
        </w:rPr>
      </w:pPr>
      <w:r>
        <w:rPr>
          <w:color w:val="000000" w:themeColor="text1"/>
          <w:sz w:val="22"/>
          <w:lang w:val="en-US"/>
        </w:rPr>
        <w:t xml:space="preserve">As for core requirements there is, however, a need to specify requirements individually in order to keep </w:t>
      </w:r>
      <w:r w:rsidR="009A5DF4">
        <w:rPr>
          <w:color w:val="000000" w:themeColor="text1"/>
          <w:sz w:val="22"/>
          <w:lang w:val="en-US"/>
        </w:rPr>
        <w:t xml:space="preserve">the structure of requirements the same as for legacy AAS BS. There is also a need to separate requirements in the core specifications in order to keep track of different sets of requirements for e.g. CAT A and CAT B, or different RATs etc. If the RF RSE is mixed with EMC RE in the core requirements, it would be difficult to back-track the numbers to their origin in the legacy conducted / legacy EMC RE requirements. </w:t>
      </w:r>
      <w:r w:rsidR="00576F49">
        <w:rPr>
          <w:color w:val="000000" w:themeColor="text1"/>
          <w:sz w:val="22"/>
          <w:lang w:val="en-US"/>
        </w:rPr>
        <w:t xml:space="preserve">When referring to the conformance requirements, however, it shall be noted that the requirement shall be tested using the combined test to be specified in the conformance specification </w:t>
      </w:r>
      <w:r w:rsidR="00576F49" w:rsidRPr="00576F49">
        <w:rPr>
          <w:color w:val="000000" w:themeColor="text1"/>
          <w:sz w:val="22"/>
          <w:lang w:val="en-US"/>
        </w:rPr>
        <w:t>37.145-2</w:t>
      </w:r>
      <w:r w:rsidR="00576F49">
        <w:rPr>
          <w:color w:val="000000" w:themeColor="text1"/>
          <w:sz w:val="22"/>
          <w:lang w:val="en-US"/>
        </w:rPr>
        <w:t xml:space="preserve"> with respect to the combined limit.</w:t>
      </w:r>
    </w:p>
    <w:p w14:paraId="000C9789" w14:textId="0FBEDA13" w:rsidR="00EE4373" w:rsidRDefault="00EE4373" w:rsidP="0029233A">
      <w:pPr>
        <w:rPr>
          <w:color w:val="000000" w:themeColor="text1"/>
          <w:sz w:val="22"/>
          <w:lang w:val="en-US"/>
        </w:rPr>
      </w:pPr>
      <w:r>
        <w:rPr>
          <w:color w:val="000000" w:themeColor="text1"/>
          <w:sz w:val="22"/>
          <w:lang w:val="en-US"/>
        </w:rPr>
        <w:t>When specifying the core</w:t>
      </w:r>
      <w:r w:rsidR="00F1195D">
        <w:rPr>
          <w:color w:val="000000" w:themeColor="text1"/>
          <w:sz w:val="22"/>
          <w:lang w:val="en-US"/>
        </w:rPr>
        <w:t xml:space="preserve"> and conformance</w:t>
      </w:r>
      <w:r>
        <w:rPr>
          <w:color w:val="000000" w:themeColor="text1"/>
          <w:sz w:val="22"/>
          <w:lang w:val="en-US"/>
        </w:rPr>
        <w:t xml:space="preserve"> requirements it should be kept in mind that referring too extensively to the legacy specifications may result in un-clarities for the user of the standards. The recommendation is to determine the OTA AAS BS emission requirements based on the legacy requirements but specify them individually</w:t>
      </w:r>
      <w:r w:rsidR="00B3274B">
        <w:rPr>
          <w:color w:val="000000" w:themeColor="text1"/>
          <w:sz w:val="22"/>
          <w:lang w:val="en-US"/>
        </w:rPr>
        <w:t xml:space="preserve"> in separate OTA AAS BS specific tables</w:t>
      </w:r>
      <w:r>
        <w:rPr>
          <w:color w:val="000000" w:themeColor="text1"/>
          <w:sz w:val="22"/>
          <w:lang w:val="en-US"/>
        </w:rPr>
        <w:t xml:space="preserve">, in order to avoid this problem. </w:t>
      </w:r>
    </w:p>
    <w:p w14:paraId="541F859B" w14:textId="6EEFF1A4" w:rsidR="00500F2A" w:rsidRPr="0029233A" w:rsidRDefault="00500F2A" w:rsidP="0029233A">
      <w:pPr>
        <w:rPr>
          <w:color w:val="000000" w:themeColor="text1"/>
          <w:sz w:val="22"/>
          <w:lang w:val="en-US"/>
        </w:rPr>
      </w:pPr>
      <w:r>
        <w:rPr>
          <w:color w:val="000000" w:themeColor="text1"/>
          <w:sz w:val="22"/>
          <w:lang w:val="en-US"/>
        </w:rPr>
        <w:t>In another contribution we propose a draft TS text for EMC RE requirement intended for the 37.11</w:t>
      </w:r>
      <w:r w:rsidR="003040F0">
        <w:rPr>
          <w:color w:val="000000" w:themeColor="text1"/>
          <w:sz w:val="22"/>
          <w:lang w:val="en-US"/>
        </w:rPr>
        <w:t>4</w:t>
      </w:r>
      <w:r>
        <w:rPr>
          <w:color w:val="000000" w:themeColor="text1"/>
          <w:sz w:val="22"/>
          <w:lang w:val="en-US"/>
        </w:rPr>
        <w:t xml:space="preserve"> EMC specification.</w:t>
      </w:r>
    </w:p>
    <w:p w14:paraId="030B6770" w14:textId="77777777" w:rsidR="00C03D8E" w:rsidRPr="002E57B8" w:rsidRDefault="00512090" w:rsidP="00C03D8E">
      <w:pPr>
        <w:pStyle w:val="Heading1"/>
      </w:pPr>
      <w:r>
        <w:t>Conclusion</w:t>
      </w:r>
    </w:p>
    <w:p w14:paraId="678BD51A" w14:textId="4629DF54" w:rsidR="00512090" w:rsidRDefault="00CC7939" w:rsidP="002A1AB4">
      <w:pPr>
        <w:rPr>
          <w:color w:val="000000" w:themeColor="text1"/>
          <w:sz w:val="22"/>
        </w:rPr>
      </w:pPr>
      <w:r>
        <w:rPr>
          <w:color w:val="000000" w:themeColor="text1"/>
          <w:sz w:val="22"/>
        </w:rPr>
        <w:t>The preferred way of implementing the combined emissions requirement is summarized in the bullets below:</w:t>
      </w:r>
    </w:p>
    <w:p w14:paraId="4F69790C" w14:textId="24A21D43" w:rsidR="00CC7939" w:rsidRDefault="00CC7939" w:rsidP="00CC7939">
      <w:pPr>
        <w:pStyle w:val="ListParagraph"/>
        <w:numPr>
          <w:ilvl w:val="0"/>
          <w:numId w:val="35"/>
        </w:numPr>
        <w:ind w:firstLineChars="0"/>
        <w:rPr>
          <w:color w:val="000000" w:themeColor="text1"/>
          <w:sz w:val="22"/>
        </w:rPr>
      </w:pPr>
      <w:r>
        <w:rPr>
          <w:color w:val="000000" w:themeColor="text1"/>
          <w:sz w:val="22"/>
        </w:rPr>
        <w:t>On</w:t>
      </w:r>
      <w:r w:rsidR="00576F49">
        <w:rPr>
          <w:color w:val="000000" w:themeColor="text1"/>
          <w:sz w:val="22"/>
        </w:rPr>
        <w:t>e</w:t>
      </w:r>
      <w:r>
        <w:rPr>
          <w:color w:val="000000" w:themeColor="text1"/>
          <w:sz w:val="22"/>
        </w:rPr>
        <w:t xml:space="preserve"> single conformance requirement </w:t>
      </w:r>
      <w:r w:rsidR="00576F49">
        <w:rPr>
          <w:color w:val="000000" w:themeColor="text1"/>
          <w:sz w:val="22"/>
        </w:rPr>
        <w:t xml:space="preserve">assessing TX spurious emission and EMC RE in an OTA test setup shall be specified in TS 37.145-2. </w:t>
      </w:r>
    </w:p>
    <w:p w14:paraId="2B5B33B9" w14:textId="16E68D95" w:rsidR="00576F49" w:rsidRDefault="00576F49" w:rsidP="00CC7939">
      <w:pPr>
        <w:pStyle w:val="ListParagraph"/>
        <w:numPr>
          <w:ilvl w:val="0"/>
          <w:numId w:val="35"/>
        </w:numPr>
        <w:ind w:firstLineChars="0"/>
        <w:rPr>
          <w:color w:val="000000" w:themeColor="text1"/>
          <w:sz w:val="22"/>
        </w:rPr>
      </w:pPr>
      <w:r>
        <w:rPr>
          <w:color w:val="000000" w:themeColor="text1"/>
          <w:sz w:val="22"/>
        </w:rPr>
        <w:t>Core requirements shall be separately specified in TS 37.105 and 37.11</w:t>
      </w:r>
      <w:r w:rsidR="003040F0">
        <w:rPr>
          <w:color w:val="000000" w:themeColor="text1"/>
          <w:sz w:val="22"/>
        </w:rPr>
        <w:t>4</w:t>
      </w:r>
      <w:r>
        <w:rPr>
          <w:color w:val="000000" w:themeColor="text1"/>
          <w:sz w:val="22"/>
        </w:rPr>
        <w:t xml:space="preserve"> referring to the combined test and combined limits to be specified in the conformance specification TS 37.145-2. </w:t>
      </w:r>
    </w:p>
    <w:p w14:paraId="00011A3A" w14:textId="757CDD99" w:rsidR="00576F49" w:rsidRPr="00CC7939" w:rsidRDefault="00576F49" w:rsidP="00CC7939">
      <w:pPr>
        <w:pStyle w:val="ListParagraph"/>
        <w:numPr>
          <w:ilvl w:val="0"/>
          <w:numId w:val="35"/>
        </w:numPr>
        <w:ind w:firstLineChars="0"/>
        <w:rPr>
          <w:color w:val="000000" w:themeColor="text1"/>
          <w:sz w:val="22"/>
        </w:rPr>
      </w:pPr>
      <w:r>
        <w:rPr>
          <w:color w:val="000000" w:themeColor="text1"/>
          <w:sz w:val="22"/>
        </w:rPr>
        <w:t xml:space="preserve">Avoid extensive referencing to conducted requirements when specifying requirements and instead specify them individually in separate OTA AAS BS specific tables, in order to avoid confusion. </w:t>
      </w:r>
    </w:p>
    <w:p w14:paraId="10BA86EE" w14:textId="2D949078" w:rsidR="00CD43A3" w:rsidRDefault="00CD43A3" w:rsidP="00CD43A3">
      <w:pPr>
        <w:pStyle w:val="Heading1"/>
      </w:pPr>
      <w:r w:rsidRPr="008F3124">
        <w:lastRenderedPageBreak/>
        <w:t>References</w:t>
      </w:r>
    </w:p>
    <w:p w14:paraId="6CCD9411" w14:textId="7842E486" w:rsidR="0029233A" w:rsidRPr="002454F8" w:rsidRDefault="00F1195D" w:rsidP="0029233A">
      <w:pPr>
        <w:pStyle w:val="a"/>
        <w:rPr>
          <w:color w:val="000000" w:themeColor="text1"/>
          <w:lang w:eastAsia="zh-CN"/>
        </w:rPr>
      </w:pPr>
      <w:r>
        <w:rPr>
          <w:color w:val="000000" w:themeColor="text1"/>
          <w:lang w:val="en-US" w:eastAsia="zh-CN"/>
        </w:rPr>
        <w:t xml:space="preserve">R4-1706147, </w:t>
      </w:r>
      <w:r w:rsidR="0029233A" w:rsidRPr="00AE4634">
        <w:rPr>
          <w:rFonts w:hint="eastAsia"/>
          <w:color w:val="000000" w:themeColor="text1"/>
          <w:lang w:val="en-US" w:eastAsia="zh-CN"/>
        </w:rPr>
        <w:t>WF on alignment of EMC emission and RF RSE requirements</w:t>
      </w:r>
      <w:r w:rsidR="0029233A">
        <w:rPr>
          <w:color w:val="000000" w:themeColor="text1"/>
          <w:lang w:val="en-US" w:eastAsia="zh-CN"/>
        </w:rPr>
        <w:t>, Huawei, RAN4-#83</w:t>
      </w:r>
    </w:p>
    <w:p w14:paraId="3945D7B9" w14:textId="68E372A1" w:rsidR="002454F8" w:rsidRPr="002454F8" w:rsidRDefault="002454F8" w:rsidP="002454F8">
      <w:pPr>
        <w:pStyle w:val="a"/>
        <w:rPr>
          <w:color w:val="000000" w:themeColor="text1"/>
          <w:lang w:val="en-US" w:eastAsia="zh-CN"/>
        </w:rPr>
      </w:pPr>
      <w:r w:rsidRPr="002454F8">
        <w:rPr>
          <w:color w:val="000000" w:themeColor="text1"/>
          <w:lang w:val="en-US" w:eastAsia="zh-CN"/>
        </w:rPr>
        <w:t>R4-1706139</w:t>
      </w:r>
      <w:r>
        <w:rPr>
          <w:color w:val="000000" w:themeColor="text1"/>
          <w:lang w:val="en-US" w:eastAsia="zh-CN"/>
        </w:rPr>
        <w:t xml:space="preserve">, </w:t>
      </w:r>
      <w:r w:rsidRPr="002454F8">
        <w:rPr>
          <w:color w:val="000000" w:themeColor="text1"/>
          <w:lang w:val="en-US" w:eastAsia="zh-CN"/>
        </w:rPr>
        <w:t>TP to TR 37.843: Consideration of missing aspects for core and conformance Tx spurious requirement OTA</w:t>
      </w:r>
      <w:r>
        <w:rPr>
          <w:color w:val="000000" w:themeColor="text1"/>
          <w:lang w:val="en-US" w:eastAsia="zh-CN"/>
        </w:rPr>
        <w:t>, Huawei, RAN4-#83</w:t>
      </w:r>
    </w:p>
    <w:p w14:paraId="37770A29" w14:textId="77777777" w:rsidR="0029233A" w:rsidRPr="0029233A" w:rsidRDefault="0029233A" w:rsidP="0029233A"/>
    <w:sectPr w:rsidR="0029233A" w:rsidRPr="0029233A"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8C1A8" w14:textId="77777777" w:rsidR="00B82F6A" w:rsidRDefault="00B82F6A">
      <w:r>
        <w:separator/>
      </w:r>
    </w:p>
  </w:endnote>
  <w:endnote w:type="continuationSeparator" w:id="0">
    <w:p w14:paraId="7F6CE735" w14:textId="77777777" w:rsidR="00B82F6A" w:rsidRDefault="00B82F6A">
      <w:r>
        <w:continuationSeparator/>
      </w:r>
    </w:p>
  </w:endnote>
  <w:endnote w:type="continuationNotice" w:id="1">
    <w:p w14:paraId="5ABFD87D" w14:textId="77777777" w:rsidR="00B82F6A" w:rsidRDefault="00B82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C67EB" w14:textId="77777777" w:rsidR="00B82F6A" w:rsidRDefault="00B82F6A">
      <w:r>
        <w:separator/>
      </w:r>
    </w:p>
  </w:footnote>
  <w:footnote w:type="continuationSeparator" w:id="0">
    <w:p w14:paraId="43B9BE49" w14:textId="77777777" w:rsidR="00B82F6A" w:rsidRDefault="00B82F6A">
      <w:r>
        <w:continuationSeparator/>
      </w:r>
    </w:p>
  </w:footnote>
  <w:footnote w:type="continuationNotice" w:id="1">
    <w:p w14:paraId="0B138862" w14:textId="77777777" w:rsidR="00B82F6A" w:rsidRDefault="00B82F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51E96"/>
    <w:multiLevelType w:val="hybridMultilevel"/>
    <w:tmpl w:val="3008F6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7"/>
  </w:num>
  <w:num w:numId="3">
    <w:abstractNumId w:val="25"/>
  </w:num>
  <w:num w:numId="4">
    <w:abstractNumId w:val="12"/>
  </w:num>
  <w:num w:numId="5">
    <w:abstractNumId w:val="10"/>
  </w:num>
  <w:num w:numId="6">
    <w:abstractNumId w:val="18"/>
  </w:num>
  <w:num w:numId="7">
    <w:abstractNumId w:val="14"/>
  </w:num>
  <w:num w:numId="8">
    <w:abstractNumId w:val="7"/>
  </w:num>
  <w:num w:numId="9">
    <w:abstractNumId w:val="1"/>
  </w:num>
  <w:num w:numId="10">
    <w:abstractNumId w:val="19"/>
  </w:num>
  <w:num w:numId="11">
    <w:abstractNumId w:val="4"/>
  </w:num>
  <w:num w:numId="12">
    <w:abstractNumId w:val="16"/>
  </w:num>
  <w:num w:numId="13">
    <w:abstractNumId w:val="20"/>
  </w:num>
  <w:num w:numId="14">
    <w:abstractNumId w:val="11"/>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5"/>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6"/>
  </w:num>
  <w:num w:numId="27">
    <w:abstractNumId w:val="17"/>
  </w:num>
  <w:num w:numId="28">
    <w:abstractNumId w:val="13"/>
  </w:num>
  <w:num w:numId="29">
    <w:abstractNumId w:val="6"/>
  </w:num>
  <w:num w:numId="30">
    <w:abstractNumId w:val="3"/>
  </w:num>
  <w:num w:numId="31">
    <w:abstractNumId w:val="23"/>
  </w:num>
  <w:num w:numId="32">
    <w:abstractNumId w:val="24"/>
  </w:num>
  <w:num w:numId="33">
    <w:abstractNumId w:val="9"/>
  </w:num>
  <w:num w:numId="34">
    <w:abstractNumId w:val="22"/>
  </w:num>
  <w:num w:numId="3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1D4"/>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6DCC"/>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0F0"/>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0C4"/>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B7DEA"/>
    <w:rsid w:val="004C04D5"/>
    <w:rsid w:val="004C09B3"/>
    <w:rsid w:val="004C0D75"/>
    <w:rsid w:val="004C1340"/>
    <w:rsid w:val="004C1346"/>
    <w:rsid w:val="004C1549"/>
    <w:rsid w:val="004C1C22"/>
    <w:rsid w:val="004C22FA"/>
    <w:rsid w:val="004C2363"/>
    <w:rsid w:val="004C24E9"/>
    <w:rsid w:val="004C28E9"/>
    <w:rsid w:val="004C2A18"/>
    <w:rsid w:val="004C2E8B"/>
    <w:rsid w:val="004C3201"/>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6F49"/>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818"/>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74B"/>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2F6A"/>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939"/>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44A"/>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8B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72813-00E3-402E-BE9C-71B27604D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1547</TotalTime>
  <Pages>2</Pages>
  <Words>528</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Björn Flach</cp:lastModifiedBy>
  <cp:revision>39</cp:revision>
  <cp:lastPrinted>2015-01-14T11:53:00Z</cp:lastPrinted>
  <dcterms:created xsi:type="dcterms:W3CDTF">2017-04-06T00:27:00Z</dcterms:created>
  <dcterms:modified xsi:type="dcterms:W3CDTF">2017-08-11T07:45:00Z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